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133</w:t>
      </w:r>
    </w:p>
    <w:p>
      <w:r>
        <w:t>Bundesgericht (BGE), 2007-12-11, DE</w:t>
      </w:r>
    </w:p>
    <w:p>
      <w:r>
        <w:rPr>
          <w:b/>
        </w:rPr>
        <w:t xml:space="preserve">Quelle: </w:t>
      </w:r>
      <w:r>
        <w:t>https://mcp.opencaselaw.ch/entscheid/bge_134 III 133</w:t>
      </w:r>
    </w:p>
    <w:p>
      <w:r>
        <w:t>FR: ATF 134 III 133</w:t>
      </w:r>
    </w:p>
    <w:p>
      <w:r>
        <w:t>IT: DTF 134 III 133</w:t>
      </w:r>
    </w:p>
    <w:p>
      <w:pPr>
        <w:pStyle w:val="Heading2"/>
      </w:pPr>
      <w:r>
        <w:t>Regeste</w:t>
      </w:r>
    </w:p>
    <w:p>
      <w:r>
        <w:t>Regeste Verwertung des Liquidationsanteils des Schuldners an einer einfachen Gesellschaft; Anordnung der Auflösung und Liquidation der einfachen Gesellschaft durch die kantonale Aufsichtsbehörde; Erfordernis der Kündigung des Gesellschaftsvertrages gegenüber allen Mitgliedern der Gesellschaft (Art. 10 Abs. 2 VVAG; Art. 545 Abs. 1 Ziff. 3 OR). Ordnet die kantonale Aufsichtsbehörde die Auflösung der einfachen Gesellschaft samt Verwertung ihres Vermögens an, tritt die Gesellschaft in das Liquidationsstadium. Es bedarf keiner zusätzlichen Kündigung des Gesellschaftsvertrages gegenüber allen Mitgliedern (Präzisierung der Rechtsprechung BGE 52 III 4 ff.; E. 1.5 und 1.6).</w:t>
      </w:r>
    </w:p>
    <w:p>
      <w:pPr>
        <w:pStyle w:val="Heading2"/>
      </w:pPr>
      <w:r>
        <w:t>Erwägungen</w:t>
      </w:r>
    </w:p>
    <w:p>
      <w:r>
        <w:rPr>
          <w:b/>
        </w:rPr>
        <w:t>E. 1.5</w:t>
      </w:r>
    </w:p>
    <w:p>
      <w:r>
        <w:t>Die Aufsichtsbehörde entscheidet, ob das gepfändete Anteilsrecht versteigert wird oder ob die Auflösung der Gemeinschaft samt Verwertung ihres Vermögens vorzunehmen ist ( Art. 10 Abs. 2 VVAG ). Sie legt damit die Art der vom Betreibungsamt vorzunehmenden Verwertung verbindlich fest. Hält sie im konkreten Fall die Auflösung der Gemeinschaft für angebracht, so ordnet sie diese an. Es liegt ein Anwendungsfall von Art. 545 Abs. 1 Ziff. 3 OR vor (RAYMOND L. BISANG, Die Zwangsverwertung von Anteilen an Gesamthandschaften, Diss. Zürich 1978, S. 185/186). Durch den Auflösungsentscheid der Aufsichtsbehörde tritt die Gemeinschaft ins Stadium der Liquidation, womit kein Platz für eine förmliche Kündigung mehr bleibt. Das Betreibungsamt hat lediglich die erforderlichen rechtlichen Vorkehren für die Verwertung zu treffen und übt dabei alle dem betriebenen Schuldner zustehenden Rechte aus ( Art. 12 VVAG ).</w:t>
      </w:r>
    </w:p>
    <w:p>
      <w:r>
        <w:rPr>
          <w:b/>
        </w:rPr>
        <w:t>E. 1.6</w:t>
      </w:r>
    </w:p>
    <w:p>
      <w:r>
        <w:t>Zwar hielt das Bundesgericht in seinem Entscheid vom 2. Februar 1926 eine den gesetzlichen Anforderungen entsprechende Kündigung des Gesellschaftsvertrages gegenüber allen Mitgliedern für notwendig ( BGE 52 III 4 ff.). Diese Auffassung wird von einem Teil der Lehre weiterhin vertreten (STAEHELIN, Basler Kommentar, N. 14 zu BGE 134 III 133 S. 135 Art. 545/546 OR; RUTZ, Kommentar zum Bundesgesetz über Schuldbetreibung und Konkurs, N. 35 zu Art. 132 SchKG ; dieselbe , in: BlSchK 1975 S. 137). Die bundesgerichtliche Rechtsprechung ist aber auch wiederholt kritisiert worden. Dabei wurde zu Recht darauf hingewiesen, dass die Auflösung der einfachen Gesellschaft nach Art. 545 Abs. 1 Ziff. 3 OR eintritt, wenn der Anteil eines Mitgliedes zur Zwangsverwertung gelangt (GILLIÉRON, Commentaire de la loi fédérale sur la poursuite pour dettes et la faillite, N. 39 zu Art. 132 SchKG ; BISANG, a.a.O., S. 185). Hinzu kommt die in Art. 10 und 13 VVAG festgelegte Aufgabenteilung zwischen Aufsichtsbehörde und Betreibungsamt. Aufgrund ihrer Kompetenz, über die Verwertungsart des gepfändeten Anteils zu entscheiden, kann die Aufsichtsbehörde die Gemeinschaft auflösen und das Betreibungsamt die Liquidation des Vermögens vornehmen lassen. Nimmt die Aufsichtsbehörde ihre Kompetenz wahr, so bedarf es keiner zusätzlichen Kündigung mehr. Insoweit ist die bisherige Rechtsprechung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